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3" w:rsidRPr="004139CF" w:rsidRDefault="00A568A7" w:rsidP="00A568A7">
      <w:pPr>
        <w:tabs>
          <w:tab w:val="left" w:pos="4898"/>
          <w:tab w:val="center" w:pos="4961"/>
        </w:tabs>
        <w:bidi/>
        <w:spacing w:after="0"/>
        <w:rPr>
          <w:b/>
          <w:bCs/>
          <w:sz w:val="20"/>
          <w:szCs w:val="20"/>
          <w:rtl/>
          <w:lang w:bidi="ar-DZ"/>
        </w:rPr>
      </w:pPr>
      <w:r>
        <w:rPr>
          <w:b/>
          <w:bCs/>
          <w:sz w:val="20"/>
          <w:szCs w:val="20"/>
          <w:lang w:bidi="ar-DZ"/>
        </w:rPr>
        <w:t xml:space="preserve">                                                              </w:t>
      </w:r>
      <w:proofErr w:type="gramStart"/>
      <w:r w:rsidR="009C5FB3" w:rsidRPr="004139CF">
        <w:rPr>
          <w:rFonts w:hint="cs"/>
          <w:b/>
          <w:bCs/>
          <w:sz w:val="20"/>
          <w:szCs w:val="20"/>
          <w:rtl/>
          <w:lang w:bidi="ar-DZ"/>
        </w:rPr>
        <w:t>وزارة</w:t>
      </w:r>
      <w:proofErr w:type="gramEnd"/>
      <w:r w:rsidR="009C5FB3" w:rsidRPr="004139CF">
        <w:rPr>
          <w:rFonts w:hint="cs"/>
          <w:b/>
          <w:bCs/>
          <w:sz w:val="20"/>
          <w:szCs w:val="20"/>
          <w:rtl/>
          <w:lang w:bidi="ar-DZ"/>
        </w:rPr>
        <w:t xml:space="preserve"> التعـليم العـــــالي والبحث العـلمي</w:t>
      </w:r>
    </w:p>
    <w:p w:rsidR="009C5FB3" w:rsidRPr="004B4228" w:rsidRDefault="001B18CC" w:rsidP="00A568A7">
      <w:pPr>
        <w:tabs>
          <w:tab w:val="left" w:pos="4898"/>
          <w:tab w:val="center" w:pos="4961"/>
        </w:tabs>
        <w:bidi/>
        <w:spacing w:after="0"/>
        <w:jc w:val="center"/>
        <w:rPr>
          <w:b/>
          <w:bCs/>
          <w:sz w:val="16"/>
          <w:szCs w:val="16"/>
          <w:lang w:bidi="ar-DZ"/>
        </w:rPr>
      </w:pPr>
      <w:r w:rsidRPr="001B18CC"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2.75pt;margin-top:6.85pt;width:168.25pt;height:98.35pt;z-index:-251654144" wrapcoords="0 0" filled="f" stroked="f">
            <v:textbox style="mso-next-textbox:#_x0000_s1028">
              <w:txbxContent>
                <w:p w:rsidR="0024777D" w:rsidRPr="0024777D" w:rsidRDefault="0024777D" w:rsidP="009C5FB3">
                  <w:pPr>
                    <w:bidi/>
                    <w:rPr>
                      <w:rtl/>
                      <w:lang w:bidi="ar-DZ"/>
                    </w:rPr>
                  </w:pPr>
                  <w:r w:rsidRPr="0024777D">
                    <w:rPr>
                      <w:rFonts w:hint="cs"/>
                      <w:rtl/>
                      <w:lang w:bidi="ar-DZ"/>
                    </w:rPr>
                    <w:t xml:space="preserve">جامعة </w:t>
                  </w:r>
                  <w:proofErr w:type="spellStart"/>
                  <w:r w:rsidRPr="0024777D">
                    <w:rPr>
                      <w:rFonts w:hint="cs"/>
                      <w:rtl/>
                      <w:lang w:bidi="ar-DZ"/>
                    </w:rPr>
                    <w:t>ورقلة</w:t>
                  </w:r>
                  <w:proofErr w:type="spellEnd"/>
                </w:p>
                <w:p w:rsidR="009C5FB3" w:rsidRPr="0024777D" w:rsidRDefault="009C5FB3" w:rsidP="0024777D">
                  <w:pPr>
                    <w:bidi/>
                    <w:rPr>
                      <w:lang w:bidi="ar-DZ"/>
                    </w:rPr>
                  </w:pPr>
                  <w:r w:rsidRPr="0024777D">
                    <w:rPr>
                      <w:rFonts w:hint="cs"/>
                      <w:rtl/>
                      <w:lang w:bidi="ar-DZ"/>
                    </w:rPr>
                    <w:t>كلية العلوم الإنسانية و الاجتماعية</w:t>
                  </w:r>
                </w:p>
                <w:p w:rsidR="009C5FB3" w:rsidRPr="00D66B2F" w:rsidRDefault="009C5FB3" w:rsidP="009C5FB3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قسم علوم الإعلام والاتصال</w:t>
                  </w:r>
                </w:p>
                <w:p w:rsidR="009C5FB3" w:rsidRDefault="009C5FB3" w:rsidP="009C5FB3">
                  <w:pPr>
                    <w:jc w:val="right"/>
                    <w:rPr>
                      <w:rFonts w:cs="Traditional Arabic"/>
                      <w:rtl/>
                      <w:lang w:bidi="ar-DZ"/>
                    </w:rPr>
                  </w:pPr>
                  <w:r>
                    <w:rPr>
                      <w:rFonts w:cs="Traditional Arabic"/>
                      <w:lang w:bidi="ar-DZ"/>
                    </w:rPr>
                    <w:t>029641687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rtl/>
                      <w:lang w:bidi="ar-DZ"/>
                    </w:rPr>
                    <w:t>الهاتف / الفاكس :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  </w:t>
                  </w:r>
                </w:p>
                <w:p w:rsidR="009C5FB3" w:rsidRPr="004139CF" w:rsidRDefault="009C5FB3" w:rsidP="009C5FB3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 xml:space="preserve">Email : </w:t>
                  </w:r>
                  <w:r>
                    <w:rPr>
                      <w:noProof/>
                      <w:sz w:val="18"/>
                      <w:szCs w:val="18"/>
                      <w:lang w:bidi="ar-DZ"/>
                    </w:rPr>
                    <w:t>toumi.fadila@univ–</w:t>
                  </w: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>ouargla. dz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                                                  </w:t>
                  </w:r>
                </w:p>
                <w:p w:rsidR="009C5FB3" w:rsidRPr="003F4D90" w:rsidRDefault="009C5FB3" w:rsidP="009C5FB3">
                  <w:pPr>
                    <w:bidi/>
                    <w:rPr>
                      <w:b/>
                      <w:bCs/>
                      <w:noProof/>
                      <w:rtl/>
                      <w:lang w:bidi="ar-DZ"/>
                    </w:rPr>
                  </w:pPr>
                  <w:proofErr w:type="gramStart"/>
                  <w:r>
                    <w:rPr>
                      <w:rFonts w:cs="Traditional Arabic" w:hint="cs"/>
                      <w:rtl/>
                    </w:rPr>
                    <w:t>الرقم</w:t>
                  </w:r>
                  <w:r w:rsidRPr="008A5117">
                    <w:rPr>
                      <w:rFonts w:hint="cs"/>
                      <w:b/>
                      <w:bCs/>
                      <w:noProof/>
                      <w:rtl/>
                      <w:lang w:bidi="ar-DZ"/>
                    </w:rPr>
                    <w:t xml:space="preserve"> </w:t>
                  </w:r>
                  <w:r w:rsidRPr="00A013BA">
                    <w:rPr>
                      <w:rFonts w:hint="cs"/>
                      <w:b/>
                      <w:bCs/>
                      <w:noProof/>
                      <w:rtl/>
                      <w:lang w:bidi="ar-DZ"/>
                    </w:rPr>
                    <w:t>:</w:t>
                  </w:r>
                  <w:proofErr w:type="gramEnd"/>
                  <w:r w:rsidRPr="001912D8">
                    <w:rPr>
                      <w:rFonts w:hint="cs"/>
                      <w:noProof/>
                      <w:rtl/>
                      <w:lang w:bidi="ar-DZ"/>
                    </w:rPr>
                    <w:t>.............</w:t>
                  </w:r>
                  <w:r w:rsidRPr="00A013BA">
                    <w:rPr>
                      <w:rFonts w:hint="cs"/>
                      <w:b/>
                      <w:bCs/>
                      <w:noProof/>
                      <w:rtl/>
                      <w:lang w:bidi="ar-DZ"/>
                    </w:rPr>
                    <w:t>ع ا</w:t>
                  </w:r>
                  <w:r>
                    <w:rPr>
                      <w:rFonts w:hint="cs"/>
                      <w:b/>
                      <w:bCs/>
                      <w:noProof/>
                      <w:rtl/>
                      <w:lang w:bidi="ar-DZ"/>
                    </w:rPr>
                    <w:t>إت/ك ان اج</w:t>
                  </w:r>
                  <w:r w:rsidRPr="00A013BA">
                    <w:rPr>
                      <w:rFonts w:hint="cs"/>
                      <w:b/>
                      <w:bCs/>
                      <w:noProof/>
                      <w:rtl/>
                      <w:lang w:bidi="ar-DZ"/>
                    </w:rPr>
                    <w:t xml:space="preserve"> /2014</w:t>
                  </w:r>
                </w:p>
                <w:p w:rsidR="009C5FB3" w:rsidRDefault="009C5FB3" w:rsidP="009C5FB3">
                  <w:pPr>
                    <w:rPr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 w:rsidRPr="001B18CC">
        <w:rPr>
          <w:b/>
          <w:bCs/>
          <w:noProof/>
          <w:sz w:val="20"/>
          <w:szCs w:val="20"/>
        </w:rPr>
        <w:pict>
          <v:shape id="_x0000_s1027" type="#_x0000_t202" style="position:absolute;left:0;text-align:left;margin-left:-42.35pt;margin-top:1.35pt;width:181.95pt;height:103.85pt;z-index:251661312" filled="f" stroked="f">
            <v:textbox style="mso-next-textbox:#_x0000_s1027">
              <w:txbxContent>
                <w:p w:rsidR="003F4D83" w:rsidRPr="00EA1C98" w:rsidRDefault="003F4D83" w:rsidP="0024777D">
                  <w:pPr>
                    <w:spacing w:after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A1C98">
                    <w:rPr>
                      <w:b/>
                      <w:bCs/>
                    </w:rPr>
                    <w:t>Université</w:t>
                  </w:r>
                  <w:r w:rsidR="0024777D">
                    <w:rPr>
                      <w:b/>
                      <w:bCs/>
                    </w:rPr>
                    <w:t xml:space="preserve"> </w:t>
                  </w:r>
                  <w:r w:rsidRPr="00EA1C98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24777D" w:rsidRPr="00D46CDB">
                    <w:rPr>
                      <w:b/>
                      <w:bCs/>
                    </w:rPr>
                    <w:t xml:space="preserve">de </w:t>
                  </w:r>
                  <w:r w:rsidRPr="00EA1C98">
                    <w:rPr>
                      <w:b/>
                      <w:bCs/>
                    </w:rPr>
                    <w:t xml:space="preserve"> Ouargla</w:t>
                  </w:r>
                  <w:proofErr w:type="gramEnd"/>
                </w:p>
                <w:p w:rsidR="003F4D83" w:rsidRPr="00082984" w:rsidRDefault="003F4D83" w:rsidP="003F4D83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082984">
                    <w:rPr>
                      <w:sz w:val="20"/>
                      <w:szCs w:val="20"/>
                    </w:rPr>
                    <w:t>Faculté des Sciences Humaines Et sociales</w:t>
                  </w:r>
                </w:p>
                <w:p w:rsidR="003F4D83" w:rsidRPr="00082984" w:rsidRDefault="003F4D83" w:rsidP="003F4D83">
                  <w:pPr>
                    <w:spacing w:after="0"/>
                    <w:rPr>
                      <w:rFonts w:cs="Traditional Arabic"/>
                      <w:lang w:bidi="ar-DZ"/>
                    </w:rPr>
                  </w:pPr>
                  <w:r w:rsidRPr="00082984">
                    <w:rPr>
                      <w:sz w:val="20"/>
                      <w:szCs w:val="20"/>
                      <w:lang w:bidi="ar-DZ"/>
                    </w:rPr>
                    <w:t xml:space="preserve">Département </w:t>
                  </w:r>
                  <w:r w:rsidRPr="00082984">
                    <w:rPr>
                      <w:sz w:val="20"/>
                      <w:szCs w:val="20"/>
                    </w:rPr>
                    <w:t>des Sciences</w:t>
                  </w:r>
                  <w:r>
                    <w:rPr>
                      <w:sz w:val="20"/>
                      <w:szCs w:val="20"/>
                    </w:rPr>
                    <w:t xml:space="preserve"> de l’information et de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C43CCC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a communication</w:t>
                  </w:r>
                  <w:r w:rsidRPr="00082984">
                    <w:rPr>
                      <w:sz w:val="20"/>
                      <w:szCs w:val="20"/>
                      <w:lang w:bidi="ar-DZ"/>
                    </w:rPr>
                    <w:t xml:space="preserve">  </w:t>
                  </w:r>
                </w:p>
                <w:p w:rsidR="003F4D83" w:rsidRPr="00082984" w:rsidRDefault="003F4D83" w:rsidP="003F4D83">
                  <w:pPr>
                    <w:bidi/>
                    <w:spacing w:after="0"/>
                    <w:ind w:right="-993"/>
                    <w:jc w:val="right"/>
                    <w:rPr>
                      <w:rFonts w:cs="Traditional Arabic"/>
                      <w:lang w:bidi="ar-DZ"/>
                    </w:rPr>
                  </w:pPr>
                  <w:r>
                    <w:rPr>
                      <w:rFonts w:cs="Traditional Arabic"/>
                      <w:lang w:bidi="ar-DZ"/>
                    </w:rPr>
                    <w:t>87</w:t>
                  </w:r>
                  <w:r w:rsidRPr="004F0300">
                    <w:rPr>
                      <w:rFonts w:cs="Traditional Arabic"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/>
                      <w:lang w:bidi="ar-DZ"/>
                    </w:rPr>
                    <w:t>16</w:t>
                  </w:r>
                  <w:r>
                    <w:rPr>
                      <w:rFonts w:cs="Traditional Arabic" w:hint="cs"/>
                      <w:rtl/>
                      <w:lang w:bidi="ar-DZ"/>
                    </w:rPr>
                    <w:t xml:space="preserve"> 64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rtl/>
                      <w:lang w:bidi="ar-DZ"/>
                    </w:rPr>
                    <w:t>029</w:t>
                  </w:r>
                  <w:r>
                    <w:rPr>
                      <w:rFonts w:cs="Traditional Arabic"/>
                      <w:lang w:bidi="ar-DZ"/>
                    </w:rPr>
                    <w:t xml:space="preserve">               </w:t>
                  </w:r>
                  <w:proofErr w:type="spellStart"/>
                  <w:r w:rsidRPr="00BF61B5">
                    <w:rPr>
                      <w:rFonts w:cs="Traditional Arabic"/>
                      <w:lang w:bidi="ar-DZ"/>
                    </w:rPr>
                    <w:t>T</w:t>
                  </w:r>
                  <w:r w:rsidR="0024777D">
                    <w:rPr>
                      <w:rFonts w:cs="Traditional Arabic"/>
                      <w:lang w:bidi="ar-DZ"/>
                    </w:rPr>
                    <w:t>t</w:t>
                  </w:r>
                  <w:r w:rsidRPr="00082984">
                    <w:rPr>
                      <w:rFonts w:cs="Traditional Arabic"/>
                      <w:lang w:bidi="ar-DZ"/>
                    </w:rPr>
                    <w:t>él</w:t>
                  </w:r>
                  <w:proofErr w:type="spellEnd"/>
                  <w:proofErr w:type="gramStart"/>
                  <w:r w:rsidRPr="00082984">
                    <w:rPr>
                      <w:rFonts w:cs="Traditional Arabic"/>
                      <w:lang w:bidi="ar-DZ"/>
                    </w:rPr>
                    <w:t>./</w:t>
                  </w:r>
                  <w:proofErr w:type="gramEnd"/>
                  <w:r w:rsidRPr="00082984">
                    <w:rPr>
                      <w:rFonts w:cs="Traditional Arabic"/>
                      <w:lang w:bidi="ar-DZ"/>
                    </w:rPr>
                    <w:t xml:space="preserve"> Fax :</w:t>
                  </w:r>
                </w:p>
                <w:p w:rsidR="003F4D83" w:rsidRPr="004139CF" w:rsidRDefault="003F4D83" w:rsidP="003F4D83">
                  <w:pPr>
                    <w:spacing w:after="0"/>
                    <w:jc w:val="both"/>
                    <w:rPr>
                      <w:b/>
                      <w:bCs/>
                      <w:rtl/>
                    </w:rPr>
                  </w:pPr>
                  <w:r w:rsidRPr="00082984">
                    <w:rPr>
                      <w:rFonts w:cs="Traditional Arabic"/>
                      <w:lang w:bidi="ar-DZ"/>
                    </w:rPr>
                    <w:t xml:space="preserve">     </w:t>
                  </w: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 xml:space="preserve">Email : </w:t>
                  </w:r>
                  <w:r>
                    <w:rPr>
                      <w:noProof/>
                      <w:sz w:val="18"/>
                      <w:szCs w:val="18"/>
                      <w:lang w:bidi="ar-DZ"/>
                    </w:rPr>
                    <w:t>toumi.fadila@univ</w:t>
                  </w: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 xml:space="preserve"> – ouargla. dz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                                                  </w:t>
                  </w:r>
                </w:p>
                <w:p w:rsidR="003F4D83" w:rsidRPr="00082984" w:rsidRDefault="003F4D83" w:rsidP="0024777D">
                  <w:pPr>
                    <w:bidi/>
                    <w:ind w:right="-993"/>
                    <w:jc w:val="right"/>
                    <w:rPr>
                      <w:rFonts w:cs="Traditional Arabic"/>
                      <w:lang w:bidi="ar-DZ"/>
                    </w:rPr>
                  </w:pPr>
                  <w:r>
                    <w:rPr>
                      <w:rFonts w:cs="Traditional Arabic"/>
                      <w:lang w:bidi="ar-DZ"/>
                    </w:rPr>
                    <w:t>87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:</w:t>
                  </w:r>
                </w:p>
                <w:p w:rsidR="003F4D83" w:rsidRPr="004139CF" w:rsidRDefault="003F4D83" w:rsidP="003F4D83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082984">
                    <w:rPr>
                      <w:rFonts w:cs="Traditional Arabic"/>
                      <w:lang w:bidi="ar-DZ"/>
                    </w:rPr>
                    <w:t xml:space="preserve">     </w:t>
                  </w: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 xml:space="preserve">Email : </w:t>
                  </w:r>
                  <w:r>
                    <w:rPr>
                      <w:noProof/>
                      <w:sz w:val="18"/>
                      <w:szCs w:val="18"/>
                      <w:lang w:bidi="ar-DZ"/>
                    </w:rPr>
                    <w:t>toumi.fadila@univ</w:t>
                  </w: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 xml:space="preserve"> – ouargla. dz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                                                  </w:t>
                  </w:r>
                </w:p>
                <w:p w:rsidR="009C5FB3" w:rsidRPr="00082984" w:rsidRDefault="009C5FB3" w:rsidP="009C5FB3">
                  <w:pPr>
                    <w:bidi/>
                    <w:ind w:right="-993"/>
                    <w:jc w:val="right"/>
                    <w:rPr>
                      <w:rFonts w:cs="Traditional Arabic"/>
                      <w:lang w:bidi="ar-DZ"/>
                    </w:rPr>
                  </w:pPr>
                  <w:r>
                    <w:rPr>
                      <w:rFonts w:cs="Traditional Arabic"/>
                      <w:lang w:bidi="ar-DZ"/>
                    </w:rPr>
                    <w:t>87</w:t>
                  </w:r>
                  <w:r w:rsidRPr="004F0300">
                    <w:rPr>
                      <w:rFonts w:cs="Traditional Arabic"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/>
                      <w:lang w:bidi="ar-DZ"/>
                    </w:rPr>
                    <w:t>16</w:t>
                  </w:r>
                  <w:r>
                    <w:rPr>
                      <w:rFonts w:cs="Traditional Arabic" w:hint="cs"/>
                      <w:rtl/>
                      <w:lang w:bidi="ar-DZ"/>
                    </w:rPr>
                    <w:t xml:space="preserve"> 64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rtl/>
                      <w:lang w:bidi="ar-DZ"/>
                    </w:rPr>
                    <w:t>029</w:t>
                  </w:r>
                  <w:r>
                    <w:rPr>
                      <w:rFonts w:cs="Traditional Arabic"/>
                      <w:lang w:bidi="ar-DZ"/>
                    </w:rPr>
                    <w:t xml:space="preserve">               </w:t>
                  </w:r>
                  <w:r w:rsidRPr="00BF61B5">
                    <w:rPr>
                      <w:rFonts w:cs="Traditional Arabic"/>
                      <w:lang w:bidi="ar-DZ"/>
                    </w:rPr>
                    <w:t>T</w:t>
                  </w:r>
                  <w:r w:rsidRPr="00082984">
                    <w:rPr>
                      <w:rFonts w:cs="Traditional Arabic"/>
                      <w:lang w:bidi="ar-DZ"/>
                    </w:rPr>
                    <w:t>él</w:t>
                  </w:r>
                  <w:proofErr w:type="gramStart"/>
                  <w:r w:rsidRPr="00082984">
                    <w:rPr>
                      <w:rFonts w:cs="Traditional Arabic"/>
                      <w:lang w:bidi="ar-DZ"/>
                    </w:rPr>
                    <w:t>./</w:t>
                  </w:r>
                  <w:proofErr w:type="gramEnd"/>
                  <w:r w:rsidRPr="00082984">
                    <w:rPr>
                      <w:rFonts w:cs="Traditional Arabic"/>
                      <w:lang w:bidi="ar-DZ"/>
                    </w:rPr>
                    <w:t xml:space="preserve"> Fax :</w:t>
                  </w:r>
                </w:p>
                <w:p w:rsidR="009C5FB3" w:rsidRPr="004139CF" w:rsidRDefault="009C5FB3" w:rsidP="009C5FB3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082984">
                    <w:rPr>
                      <w:rFonts w:cs="Traditional Arabic"/>
                      <w:lang w:bidi="ar-DZ"/>
                    </w:rPr>
                    <w:t xml:space="preserve">     </w:t>
                  </w: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 xml:space="preserve">Email : </w:t>
                  </w:r>
                  <w:r>
                    <w:rPr>
                      <w:noProof/>
                      <w:sz w:val="18"/>
                      <w:szCs w:val="18"/>
                      <w:lang w:bidi="ar-DZ"/>
                    </w:rPr>
                    <w:t>toumi.fadila@univ</w:t>
                  </w:r>
                  <w:r w:rsidRPr="00082984">
                    <w:rPr>
                      <w:noProof/>
                      <w:sz w:val="18"/>
                      <w:szCs w:val="18"/>
                      <w:lang w:bidi="ar-DZ"/>
                    </w:rPr>
                    <w:t xml:space="preserve"> – ouargla. dz</w:t>
                  </w:r>
                  <w:r w:rsidRPr="00082984">
                    <w:rPr>
                      <w:rFonts w:cs="Traditional Arabic"/>
                      <w:lang w:bidi="ar-DZ"/>
                    </w:rPr>
                    <w:t xml:space="preserve">                                                   </w:t>
                  </w:r>
                </w:p>
                <w:p w:rsidR="009C5FB3" w:rsidRPr="001B2FDF" w:rsidRDefault="009C5FB3" w:rsidP="009C5FB3"/>
              </w:txbxContent>
            </v:textbox>
            <w10:wrap type="square"/>
          </v:shape>
        </w:pict>
      </w:r>
      <w:r w:rsidR="009C5FB3" w:rsidRPr="004B4228">
        <w:rPr>
          <w:b/>
          <w:bCs/>
          <w:sz w:val="16"/>
          <w:szCs w:val="16"/>
          <w:lang w:bidi="ar-DZ"/>
        </w:rPr>
        <w:t>Ministère de l’Enseignement Supérieur et de Recherche Scientifique</w:t>
      </w:r>
    </w:p>
    <w:p w:rsidR="009C5FB3" w:rsidRDefault="009C5FB3" w:rsidP="003F4D83">
      <w:pPr>
        <w:pStyle w:val="En-tte"/>
        <w:pBdr>
          <w:bottom w:val="thickThinSmallGap" w:sz="24" w:space="7" w:color="622423"/>
        </w:pBdr>
        <w:rPr>
          <w:rFonts w:ascii="Cambria" w:hAnsi="Cambria"/>
          <w:sz w:val="32"/>
          <w:szCs w:val="32"/>
          <w:rtl/>
        </w:rPr>
      </w:pPr>
      <w:r>
        <w:rPr>
          <w:rFonts w:ascii="Cambria" w:hAnsi="Cambria" w:hint="cs"/>
          <w:noProof/>
          <w:sz w:val="32"/>
          <w:szCs w:val="32"/>
          <w:rtl/>
        </w:rPr>
        <w:drawing>
          <wp:anchor distT="0" distB="8255" distL="114300" distR="118618" simplePos="0" relativeHeight="251663360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52070</wp:posOffset>
            </wp:positionV>
            <wp:extent cx="1329055" cy="835025"/>
            <wp:effectExtent l="19050" t="0" r="4445" b="0"/>
            <wp:wrapSquare wrapText="bothSides"/>
            <wp:docPr id="5" name="كائن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57325" cy="1028700"/>
                      <a:chOff x="0" y="0"/>
                      <a:chExt cx="1457325" cy="1028700"/>
                    </a:xfrm>
                  </a:grpSpPr>
                  <a:grpSp>
                    <a:nvGrpSpPr>
                      <a:cNvPr id="8" name="Group 2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0" y="0"/>
                        <a:ext cx="1457325" cy="1028700"/>
                        <a:chOff x="0" y="0"/>
                        <a:chExt cx="10718" cy="10629"/>
                      </a:xfrm>
                    </a:grpSpPr>
                    <a:pic>
                      <a:nvPicPr>
                        <a:cNvPr id="9" name="Image 12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28" y="718"/>
                          <a:ext cx="8959" cy="890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04" y="1092"/>
                          <a:ext cx="7988" cy="79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1" name="WordArt 5"/>
                        <a:cNvSpPr>
                          <a:spLocks noChangeAspect="1" noChangeArrowheads="1" noChangeShapeType="1" noTextEdit="1"/>
                        </a:cNvSpPr>
                      </a:nvSpPr>
                      <a:spPr bwMode="auto">
                        <a:xfrm>
                          <a:off x="0" y="1289"/>
                          <a:ext cx="10567" cy="934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Down">
                              <a:avLst>
                                <a:gd name="adj" fmla="val 169784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/>
                            <a:r>
                              <a:rPr lang="fr-FR" sz="800" kern="10" spc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Bodoni MT"/>
                              </a:rPr>
                              <a:t>Université Kasdi Merbah Ouargla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WordArt 6"/>
                        <a:cNvSpPr>
                          <a:spLocks noChangeAspect="1" noChangeArrowheads="1" noChangeShapeType="1" noTextEdit="1"/>
                        </a:cNvSpPr>
                      </a:nvSpPr>
                      <a:spPr bwMode="auto">
                        <a:xfrm>
                          <a:off x="77" y="0"/>
                          <a:ext cx="10642" cy="843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9830873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rtl="1"/>
                            <a:r>
                              <a:rPr lang="ar-SA" sz="800" kern="10" spc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effectLst/>
                                <a:cs typeface="Simplified Arabic Fixed"/>
                              </a:rPr>
                              <a:t>جامعة قاصدي مرباح ورقلة</a:t>
                            </a:r>
                            <a:endPara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9C5FB3" w:rsidRDefault="009C5FB3" w:rsidP="003F4D83">
      <w:pPr>
        <w:pStyle w:val="En-tte"/>
        <w:pBdr>
          <w:bottom w:val="thickThinSmallGap" w:sz="24" w:space="7" w:color="622423"/>
        </w:pBdr>
        <w:bidi/>
        <w:rPr>
          <w:rFonts w:ascii="Cambria" w:hAnsi="Cambria"/>
          <w:sz w:val="32"/>
          <w:szCs w:val="32"/>
          <w:rtl/>
        </w:rPr>
      </w:pPr>
    </w:p>
    <w:p w:rsidR="009C5FB3" w:rsidRDefault="009C5FB3" w:rsidP="003F4D83">
      <w:pPr>
        <w:pStyle w:val="En-tte"/>
        <w:pBdr>
          <w:bottom w:val="thickThinSmallGap" w:sz="24" w:space="7" w:color="622423"/>
        </w:pBdr>
        <w:rPr>
          <w:rFonts w:ascii="Cambria" w:hAnsi="Cambria"/>
          <w:sz w:val="32"/>
          <w:szCs w:val="32"/>
          <w:rtl/>
        </w:rPr>
      </w:pPr>
    </w:p>
    <w:p w:rsidR="009C5FB3" w:rsidRDefault="009C5FB3" w:rsidP="003F4D83">
      <w:pPr>
        <w:pStyle w:val="En-tte"/>
        <w:pBdr>
          <w:bottom w:val="thickThinSmallGap" w:sz="24" w:space="7" w:color="622423"/>
        </w:pBdr>
        <w:rPr>
          <w:rFonts w:ascii="Cambria" w:hAnsi="Cambria"/>
          <w:sz w:val="32"/>
          <w:szCs w:val="32"/>
          <w:rtl/>
        </w:rPr>
      </w:pPr>
    </w:p>
    <w:p w:rsidR="009C5FB3" w:rsidRDefault="009C5FB3" w:rsidP="003F4D83">
      <w:pPr>
        <w:pStyle w:val="En-tte"/>
        <w:pBdr>
          <w:bottom w:val="thickThinSmallGap" w:sz="24" w:space="7" w:color="622423"/>
        </w:pBdr>
        <w:bidi/>
        <w:rPr>
          <w:rFonts w:ascii="Cambria" w:hAnsi="Cambria"/>
          <w:sz w:val="28"/>
          <w:szCs w:val="28"/>
          <w:rtl/>
          <w:lang w:bidi="ar-DZ"/>
        </w:rPr>
      </w:pPr>
    </w:p>
    <w:p w:rsidR="009C5FB3" w:rsidRPr="00556B9B" w:rsidRDefault="001B18CC" w:rsidP="003F4D83">
      <w:pPr>
        <w:pStyle w:val="En-tte"/>
        <w:pBdr>
          <w:bottom w:val="thickThinSmallGap" w:sz="24" w:space="7" w:color="622423"/>
        </w:pBdr>
        <w:bidi/>
        <w:rPr>
          <w:rFonts w:ascii="Cambria" w:hAnsi="Cambria"/>
          <w:sz w:val="28"/>
          <w:szCs w:val="28"/>
          <w:lang w:bidi="ar-DZ"/>
        </w:rPr>
      </w:pPr>
      <w:r w:rsidRPr="001B18CC">
        <w:rPr>
          <w:noProof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56877" o:spid="_x0000_s1026" type="#_x0000_t136" style="position:absolute;left:0;text-align:left;margin-left:0;margin-top:0;width:496.65pt;height:82.7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قسم علوم الإعلام والإتصال"/>
            <w10:wrap anchorx="margin" anchory="margin"/>
          </v:shape>
        </w:pict>
      </w:r>
    </w:p>
    <w:p w:rsidR="00E63B13" w:rsidRDefault="00E63B13" w:rsidP="00D46CDB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9C5FB3" w:rsidRPr="0024777D" w:rsidRDefault="009C5FB3" w:rsidP="00E63B13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الموضوع: محضر اجتماع لجنة الترتيب للماستر</w:t>
      </w:r>
      <w:r w:rsidR="00D46C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الموسم الجامعي2014/2015</w:t>
      </w:r>
    </w:p>
    <w:p w:rsidR="009C5FB3" w:rsidRPr="0024777D" w:rsidRDefault="009C5FB3" w:rsidP="00D46CD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تخصص تكنولوجيا </w:t>
      </w:r>
      <w:r w:rsidR="00D46CDB" w:rsidRPr="002477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الاتصال</w:t>
      </w:r>
      <w:r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الجديدة</w:t>
      </w:r>
      <w:proofErr w:type="gramEnd"/>
    </w:p>
    <w:p w:rsidR="009C5FB3" w:rsidRDefault="009C5FB3" w:rsidP="009C5FB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المرفقات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قوائم الطلبة المقبولين للترشح </w:t>
      </w: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للماستر</w:t>
      </w:r>
      <w:proofErr w:type="spellEnd"/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46CDB" w:rsidRPr="0024777D" w:rsidRDefault="00D46CDB" w:rsidP="00D46CD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13431" w:rsidRPr="0024777D" w:rsidRDefault="00B750A7" w:rsidP="009C5FB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يوم 03 </w:t>
      </w:r>
      <w:proofErr w:type="spellStart"/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جويلية</w:t>
      </w:r>
      <w:proofErr w:type="spellEnd"/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2014 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اجتمعت</w:t>
      </w:r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لجنة الترتيب لقسم </w:t>
      </w:r>
      <w:r w:rsidR="00356FCF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علوم الإعلام والاتصال</w:t>
      </w:r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الساعة 09:30 </w:t>
      </w:r>
      <w:proofErr w:type="gramStart"/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صباحا</w:t>
      </w:r>
      <w:proofErr w:type="gramEnd"/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بمقر القسم وذلك بحضور السادة 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الآتية</w:t>
      </w:r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أسماؤهم:</w:t>
      </w:r>
    </w:p>
    <w:p w:rsidR="00C13431" w:rsidRPr="0024777D" w:rsidRDefault="009C5FB3" w:rsidP="009C5FB3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أبي مولود عبد الفتاح            </w:t>
      </w:r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نائب العميد للدراسات </w:t>
      </w:r>
    </w:p>
    <w:p w:rsidR="00C13431" w:rsidRPr="0024777D" w:rsidRDefault="00356FCF" w:rsidP="00C13431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توم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ــ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proofErr w:type="spell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فضيلة</w:t>
      </w:r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</w:t>
      </w:r>
      <w:r w:rsidR="00C13431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رئيس القسم</w:t>
      </w:r>
    </w:p>
    <w:p w:rsidR="00B750A7" w:rsidRPr="0024777D" w:rsidRDefault="00C13431" w:rsidP="009C5FB3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بعد الكلمة </w:t>
      </w: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الترحيبية</w:t>
      </w:r>
      <w:proofErr w:type="spellEnd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للسيد رئيس اللجنة، أعطى الكلمة للسيد رئيس القسم لتقديم عرض ع</w:t>
      </w:r>
      <w:r w:rsidR="00356FCF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 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عن 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سير العملية حيث أشار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مداخلته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أنه وبناء على التعليمات المقدمة من طرف السيد العميد خلال </w:t>
      </w:r>
      <w:r w:rsidR="00356FCF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الاجتماع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التنسيقي</w:t>
      </w:r>
      <w:proofErr w:type="spellEnd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يوم 01 </w:t>
      </w:r>
      <w:proofErr w:type="spellStart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جويلية</w:t>
      </w:r>
      <w:proofErr w:type="spellEnd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2014 مع رؤساء الأقسام </w:t>
      </w:r>
      <w:proofErr w:type="spellStart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والمتمحور</w:t>
      </w:r>
      <w:proofErr w:type="spellEnd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حول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آليات تحديد قدرة </w:t>
      </w:r>
      <w:r w:rsidR="00356FCF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استيعاب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الأقسام لطلبة </w:t>
      </w:r>
      <w:proofErr w:type="spellStart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الماستر</w:t>
      </w:r>
      <w:proofErr w:type="spellEnd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للموسم الجامعي 2014/2015، حيث </w:t>
      </w:r>
      <w:r w:rsidR="00356FCF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توفر </w:t>
      </w:r>
      <w:r w:rsidR="00356FCF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قسم علوم الإعلام والاتصال على 13 أستاذ </w:t>
      </w:r>
      <w:r w:rsidR="00177C2B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بينهم 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08 أساتذة</w:t>
      </w:r>
      <w:r w:rsidR="00177C2B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تخصص إعلام 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واتصال</w:t>
      </w:r>
      <w:r w:rsidR="00177C2B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موزعين</w:t>
      </w:r>
      <w:proofErr w:type="gramEnd"/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كالتالي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B750A7" w:rsidRPr="0024777D" w:rsidRDefault="00B750A7" w:rsidP="00B750A7">
      <w:pPr>
        <w:pStyle w:val="Paragraphedeliste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01 </w:t>
      </w:r>
      <w:proofErr w:type="gram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أستاذ</w:t>
      </w:r>
      <w:proofErr w:type="gram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رتبة أستاذ محاضر "أ".</w:t>
      </w:r>
    </w:p>
    <w:p w:rsidR="00B750A7" w:rsidRPr="0024777D" w:rsidRDefault="00B750A7" w:rsidP="00177C2B">
      <w:pPr>
        <w:pStyle w:val="Paragraphedeliste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0</w:t>
      </w:r>
      <w:r w:rsidR="00177C2B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4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أساتذة في رتبة أستاذ مساعد "أ"</w:t>
      </w:r>
    </w:p>
    <w:p w:rsidR="00B750A7" w:rsidRPr="0024777D" w:rsidRDefault="00B750A7" w:rsidP="00177C2B">
      <w:pPr>
        <w:pStyle w:val="Paragraphedeliste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0</w:t>
      </w:r>
      <w:r w:rsidR="00177C2B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8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أساتذة في رتبة أستاذ مساعد "ب"</w:t>
      </w:r>
      <w:r w:rsidR="00770410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تخصص إعلام </w:t>
      </w:r>
      <w:proofErr w:type="spellStart"/>
      <w:r w:rsidR="00770410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وإتصال</w:t>
      </w:r>
      <w:proofErr w:type="spellEnd"/>
    </w:p>
    <w:p w:rsidR="00B750A7" w:rsidRPr="0024777D" w:rsidRDefault="00770410" w:rsidP="00770410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وعليه 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نقترح أن تكون 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قدرة </w:t>
      </w:r>
      <w:r w:rsidR="00D46CDB" w:rsidRPr="00247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الاستيعاب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</w:t>
      </w: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</w:t>
      </w:r>
      <w:r w:rsidR="009C5FB3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لماست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proofErr w:type="spellEnd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تتعدى </w:t>
      </w:r>
      <w:r w:rsidR="00B750A7"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4</w:t>
      </w:r>
      <w:r w:rsidR="00177C2B" w:rsidRPr="0024777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5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مقعدا </w:t>
      </w:r>
      <w:proofErr w:type="spellStart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بيداغوجيا</w:t>
      </w:r>
      <w:proofErr w:type="spellEnd"/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9C5FB3" w:rsidRPr="0024777D" w:rsidRDefault="00D46CDB" w:rsidP="009C5FB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أما عن سير </w:t>
      </w:r>
      <w:r w:rsidR="0024777D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عملية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التسجيل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الماستر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4777D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فقد تمت كالتالي:</w:t>
      </w:r>
    </w:p>
    <w:p w:rsidR="0024777D" w:rsidRPr="0024777D" w:rsidRDefault="0024777D" w:rsidP="0024777D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بدأت التسجيلات في يوم 22 جوان  2014 على الساعة الثامنة صباحا إلى غاية 26 جوان على الساعة 16:30 مساءا وذلك في القاعة رقم 02 بكلية العلوم الإنسانية والاجتماعية، </w:t>
      </w:r>
      <w:r w:rsidRPr="0024777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حيث شملت 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ليسانس نظام </w:t>
      </w: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كلاسيك</w:t>
      </w:r>
      <w:proofErr w:type="spell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وليسانس نظام </w:t>
      </w:r>
      <w:r w:rsidRPr="0024777D">
        <w:rPr>
          <w:rFonts w:ascii="Simplified Arabic" w:hAnsi="Simplified Arabic" w:cs="Simplified Arabic"/>
          <w:sz w:val="28"/>
          <w:szCs w:val="28"/>
          <w:lang w:bidi="ar-DZ"/>
        </w:rPr>
        <w:t>LMD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قديم وليسانس نظام </w:t>
      </w:r>
      <w:r w:rsidRPr="0024777D">
        <w:rPr>
          <w:rFonts w:ascii="Simplified Arabic" w:hAnsi="Simplified Arabic" w:cs="Simplified Arabic"/>
          <w:sz w:val="28"/>
          <w:szCs w:val="28"/>
          <w:lang w:bidi="ar-DZ"/>
        </w:rPr>
        <w:t>LMD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جديد وكانت الحصيلة بعد غلق سجل التسجيلات وفق الجدول التالي:</w:t>
      </w:r>
    </w:p>
    <w:p w:rsidR="0024777D" w:rsidRPr="0024777D" w:rsidRDefault="0024777D" w:rsidP="0024777D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5211"/>
        <w:gridCol w:w="2693"/>
      </w:tblGrid>
      <w:tr w:rsidR="0024777D" w:rsidRPr="0024777D" w:rsidTr="00404E8A">
        <w:tc>
          <w:tcPr>
            <w:tcW w:w="5211" w:type="dxa"/>
          </w:tcPr>
          <w:p w:rsidR="0024777D" w:rsidRPr="0024777D" w:rsidRDefault="0024777D" w:rsidP="00404E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فئات </w:t>
            </w:r>
            <w:proofErr w:type="gramStart"/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الخريجين</w:t>
            </w:r>
            <w:proofErr w:type="gramEnd"/>
          </w:p>
        </w:tc>
        <w:tc>
          <w:tcPr>
            <w:tcW w:w="2693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عدد المسجلين</w:t>
            </w:r>
          </w:p>
        </w:tc>
      </w:tr>
      <w:tr w:rsidR="0024777D" w:rsidRPr="0024777D" w:rsidTr="00404E8A">
        <w:tc>
          <w:tcPr>
            <w:tcW w:w="5211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ليسانس</w:t>
            </w:r>
            <w:proofErr w:type="gram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نظام </w:t>
            </w:r>
            <w:r w:rsidRPr="0024777D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LMD</w:t>
            </w: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جديد داخلي+خارجي</w:t>
            </w:r>
          </w:p>
        </w:tc>
        <w:tc>
          <w:tcPr>
            <w:tcW w:w="2693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170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مسجل</w:t>
            </w:r>
            <w:proofErr w:type="gram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24777D" w:rsidRPr="0024777D" w:rsidTr="00404E8A">
        <w:tc>
          <w:tcPr>
            <w:tcW w:w="5211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ليسانس</w:t>
            </w:r>
            <w:proofErr w:type="gram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نظام </w:t>
            </w:r>
            <w:r w:rsidRPr="0024777D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LMD</w:t>
            </w: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قديم داخلي+خارجي</w:t>
            </w:r>
          </w:p>
        </w:tc>
        <w:tc>
          <w:tcPr>
            <w:tcW w:w="2693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15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مسجل</w:t>
            </w:r>
            <w:proofErr w:type="gram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24777D" w:rsidRPr="0024777D" w:rsidTr="00404E8A">
        <w:tc>
          <w:tcPr>
            <w:tcW w:w="5211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ليسانس نظام </w:t>
            </w:r>
            <w:proofErr w:type="spell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كلاسيك</w:t>
            </w:r>
            <w:proofErr w:type="spellEnd"/>
          </w:p>
        </w:tc>
        <w:tc>
          <w:tcPr>
            <w:tcW w:w="2693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29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مسجل</w:t>
            </w:r>
            <w:proofErr w:type="gramEnd"/>
          </w:p>
        </w:tc>
      </w:tr>
      <w:tr w:rsidR="0024777D" w:rsidRPr="0024777D" w:rsidTr="00404E8A">
        <w:tc>
          <w:tcPr>
            <w:tcW w:w="5211" w:type="dxa"/>
          </w:tcPr>
          <w:p w:rsidR="0024777D" w:rsidRPr="0024777D" w:rsidRDefault="0024777D" w:rsidP="00404E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2693" w:type="dxa"/>
          </w:tcPr>
          <w:p w:rsidR="0024777D" w:rsidRPr="0024777D" w:rsidRDefault="0024777D" w:rsidP="00404E8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214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مسجل</w:t>
            </w:r>
            <w:proofErr w:type="gram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24777D" w:rsidRPr="0024777D" w:rsidRDefault="0024777D" w:rsidP="00A568A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انتهت عملية التسجيل يوم 26 جوان على الساعة 16:30 مساء. </w:t>
      </w:r>
    </w:p>
    <w:p w:rsidR="0072302C" w:rsidRPr="0024777D" w:rsidRDefault="00C13431" w:rsidP="004F7B8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بعد العرض المف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صل ذكر نائب العميد بالقوانين المنظمة والمسيرة لشروط الترشح في </w:t>
      </w:r>
      <w:proofErr w:type="spellStart"/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الماستر</w:t>
      </w:r>
      <w:proofErr w:type="spellEnd"/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وكذا 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معايير 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الترتيب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وذلك وفق 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القرار الوزاري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رقم 363 المؤرخ في </w:t>
      </w:r>
      <w:r w:rsidR="00EA6535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09 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جوان 2014 والمتضمن الشروط العامة للدخول في </w:t>
      </w:r>
      <w:proofErr w:type="spellStart"/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الماستر</w:t>
      </w:r>
      <w:proofErr w:type="spellEnd"/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قرار مكمل </w:t>
      </w:r>
      <w:r w:rsidR="00D2630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للقرارات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السابقة رقم 711 المؤرخ في 03 نوفمبر 2011 ، والمتضمن القواعد المشتركة للتسيير البيداغوجي للدراسات الجامعية لنيل شهادتي الليسانس </w:t>
      </w:r>
      <w:proofErr w:type="spellStart"/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والماستر</w:t>
      </w:r>
      <w:proofErr w:type="spellEnd"/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وكذا القرار 712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714 المؤرخين في 03</w:t>
      </w:r>
      <w:r w:rsidR="00D2630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2302C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نوفمبر 2011 والذي يحدد كيفيات تقييم التدرج والتوجيه في طور الدراسات لنيل شهادة الليسانس والماستر وكذا ترتيب الطلبة. </w:t>
      </w:r>
    </w:p>
    <w:p w:rsidR="0072302C" w:rsidRPr="0024777D" w:rsidRDefault="0072302C" w:rsidP="004F7B8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وبناءا على هذه القرارات وخاصة فيما يتعلق بالمادة 7 من القرار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الوزاري رقم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363 الخاص ب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تحديد 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السنوي ل</w:t>
      </w:r>
      <w:r w:rsidR="00D2630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قدرات الاستقبال من حيث الأماكن البيداغوجية للماستر، كما تحدد أيضًا توزيعها إلى حصص حسب </w:t>
      </w:r>
      <w:r w:rsidR="00D46CDB">
        <w:rPr>
          <w:rFonts w:ascii="Simplified Arabic" w:hAnsi="Simplified Arabic" w:cs="Simplified Arabic"/>
          <w:sz w:val="28"/>
          <w:szCs w:val="28"/>
          <w:rtl/>
          <w:lang w:bidi="ar-DZ"/>
        </w:rPr>
        <w:t>كل فئة من فئات الخريجين التالية</w:t>
      </w:r>
      <w:r w:rsidR="00D2630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</w:p>
    <w:p w:rsidR="00D26309" w:rsidRPr="0024777D" w:rsidRDefault="006E74F9" w:rsidP="00D26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ـ خريجوا المؤسسة الجد</w:t>
      </w:r>
      <w:r w:rsidR="00D2630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د نظام ل.م.د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26309" w:rsidRPr="0024777D" w:rsidRDefault="00D26309" w:rsidP="00D26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ـ خريجوا المؤسسات الأخرى الجدد نظام ل.م.د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26309" w:rsidRPr="0024777D" w:rsidRDefault="00D26309" w:rsidP="00D26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ـ خريجوا المؤسسة القدماء نظام ل.م.د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26309" w:rsidRPr="0024777D" w:rsidRDefault="00D26309" w:rsidP="00D26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ـ خريجوا المؤسسات الأخرى القدماء نظام ل.م.د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26309" w:rsidRPr="0024777D" w:rsidRDefault="00D26309" w:rsidP="00D26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خريجوا النظام الكلاسيكي. </w:t>
      </w:r>
    </w:p>
    <w:p w:rsidR="00D26309" w:rsidRPr="0024777D" w:rsidRDefault="00D26309" w:rsidP="00D26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الحاصلون على شهادة أجنبية معترف بمعادلتها. </w:t>
      </w:r>
    </w:p>
    <w:p w:rsidR="00D26309" w:rsidRPr="0024777D" w:rsidRDefault="00D26309" w:rsidP="00D2630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ـ الخريجون المشتغلون في القطاع الاقتصادي والاجتماعي.</w:t>
      </w:r>
    </w:p>
    <w:p w:rsidR="00EA6535" w:rsidRPr="0024777D" w:rsidRDefault="00EA6535" w:rsidP="00EA6535">
      <w:pPr>
        <w:bidi/>
        <w:spacing w:after="0"/>
        <w:ind w:firstLine="70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تعطى الأولوية للتسجيل في الماستر لخريجي المؤسسة الجدد نظام ل.م.د الذين لم يسجلوا أي </w:t>
      </w:r>
      <w:proofErr w:type="gram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تأخر</w:t>
      </w:r>
      <w:proofErr w:type="gram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مسارهم الدراسي. </w:t>
      </w:r>
    </w:p>
    <w:p w:rsidR="00EA6535" w:rsidRPr="0024777D" w:rsidRDefault="00EA6535" w:rsidP="00EA6535">
      <w:pPr>
        <w:bidi/>
        <w:spacing w:after="0"/>
        <w:ind w:firstLine="70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لا يمكن للحصة </w:t>
      </w:r>
      <w:r w:rsidR="00663B8D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الإجمالية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المخصصة للخرجين بالنسبة لباقي فئات الشهادات الأخرى غير فئة الخريجين الجدد للمؤسسة أن تتجاوز نسبة 20% من قدرات الاستقبال في </w:t>
      </w: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الماستر</w:t>
      </w:r>
      <w:proofErr w:type="spellEnd"/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EA6535" w:rsidRPr="0024777D" w:rsidRDefault="00EA6535" w:rsidP="00EA6535">
      <w:pPr>
        <w:bidi/>
        <w:spacing w:after="0"/>
        <w:ind w:firstLine="708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يخضع توزيع الحصة </w:t>
      </w:r>
      <w:r w:rsidR="006E74F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الإجمالية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بين مختلف فئات الخريجين لتقدير المؤسسة الجامعية. </w:t>
      </w:r>
    </w:p>
    <w:p w:rsidR="0024777D" w:rsidRPr="0024777D" w:rsidRDefault="00EA6535" w:rsidP="00D46CDB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وعلى ضوء ذلك تم </w:t>
      </w:r>
      <w:r w:rsidR="006E74F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إحصاء 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ملفات المترشحين حسب </w:t>
      </w:r>
      <w:r w:rsidR="006E74F9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الفئات الموضحة في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الجدول الآتي: </w:t>
      </w:r>
    </w:p>
    <w:p w:rsidR="006E74F9" w:rsidRPr="0024777D" w:rsidRDefault="006E74F9" w:rsidP="00D46CDB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جدول يوضح </w:t>
      </w:r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عدد </w:t>
      </w:r>
      <w:proofErr w:type="spellStart"/>
      <w:r w:rsidR="00D46C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المترشحين</w:t>
      </w:r>
      <w:proofErr w:type="spell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حسب فئات الخريجين</w:t>
      </w:r>
    </w:p>
    <w:tbl>
      <w:tblPr>
        <w:tblStyle w:val="Grilledutableau"/>
        <w:bidiVisual/>
        <w:tblW w:w="0" w:type="auto"/>
        <w:tblLook w:val="04A0"/>
      </w:tblPr>
      <w:tblGrid>
        <w:gridCol w:w="6061"/>
        <w:gridCol w:w="1843"/>
      </w:tblGrid>
      <w:tr w:rsidR="00D26309" w:rsidRPr="0024777D" w:rsidTr="006E74F9">
        <w:tc>
          <w:tcPr>
            <w:tcW w:w="6061" w:type="dxa"/>
          </w:tcPr>
          <w:p w:rsidR="00D26309" w:rsidRPr="0024777D" w:rsidRDefault="00EA6535" w:rsidP="004F7B8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فئات </w:t>
            </w:r>
            <w:proofErr w:type="gramStart"/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الخريجين</w:t>
            </w:r>
            <w:proofErr w:type="gramEnd"/>
          </w:p>
        </w:tc>
        <w:tc>
          <w:tcPr>
            <w:tcW w:w="1843" w:type="dxa"/>
          </w:tcPr>
          <w:p w:rsidR="00D26309" w:rsidRPr="0024777D" w:rsidRDefault="00D26309" w:rsidP="004F7B8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عدد ا</w:t>
            </w:r>
            <w:r w:rsidR="006E74F9"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لمترشحين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6E74F9" w:rsidP="004F7B8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 المؤسسة الجد</w:t>
            </w:r>
            <w:r w:rsidR="00D26309"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د نظام ل.م.د</w:t>
            </w:r>
          </w:p>
        </w:tc>
        <w:tc>
          <w:tcPr>
            <w:tcW w:w="1843" w:type="dxa"/>
          </w:tcPr>
          <w:p w:rsidR="00D26309" w:rsidRPr="0024777D" w:rsidRDefault="00177C2B" w:rsidP="004F7B8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167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D26309" w:rsidP="004F7B8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 المؤسسات الأخرى الجدد نظام ل.م.د</w:t>
            </w:r>
          </w:p>
        </w:tc>
        <w:tc>
          <w:tcPr>
            <w:tcW w:w="1843" w:type="dxa"/>
          </w:tcPr>
          <w:p w:rsidR="00D26309" w:rsidRPr="0024777D" w:rsidRDefault="00177C2B" w:rsidP="004F7B8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03</w:t>
            </w:r>
            <w:r w:rsidR="00D26309"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D26309" w:rsidP="004F7B8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 المؤسسة القدماء نظام ل.م.د</w:t>
            </w:r>
          </w:p>
        </w:tc>
        <w:tc>
          <w:tcPr>
            <w:tcW w:w="1843" w:type="dxa"/>
          </w:tcPr>
          <w:p w:rsidR="00D26309" w:rsidRPr="0024777D" w:rsidRDefault="00CD61E4" w:rsidP="004F7B8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D26309" w:rsidP="004F7B8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 المؤسسات الأخرى القدماء نظام ل.م.د</w:t>
            </w:r>
          </w:p>
        </w:tc>
        <w:tc>
          <w:tcPr>
            <w:tcW w:w="1843" w:type="dxa"/>
          </w:tcPr>
          <w:p w:rsidR="00D26309" w:rsidRPr="0024777D" w:rsidRDefault="00CD61E4" w:rsidP="004F7B8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D26309" w:rsidP="004F7B8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 النظام الكلاسيكي</w:t>
            </w:r>
          </w:p>
        </w:tc>
        <w:tc>
          <w:tcPr>
            <w:tcW w:w="1843" w:type="dxa"/>
          </w:tcPr>
          <w:p w:rsidR="00D26309" w:rsidRPr="0024777D" w:rsidRDefault="00CD61E4" w:rsidP="004F7B8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29</w:t>
            </w:r>
            <w:r w:rsidR="00D26309"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D26309" w:rsidP="004F7B8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الحاصلون على شهادة أجنبية معترف بمعادلتها</w:t>
            </w:r>
          </w:p>
        </w:tc>
        <w:tc>
          <w:tcPr>
            <w:tcW w:w="1843" w:type="dxa"/>
          </w:tcPr>
          <w:p w:rsidR="00D26309" w:rsidRPr="0024777D" w:rsidRDefault="00D26309" w:rsidP="004F7B8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00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EA6535" w:rsidP="004F7B8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الخريجون المشتغلون في القطاع الاقتصادي والاجتماعي</w:t>
            </w:r>
          </w:p>
        </w:tc>
        <w:tc>
          <w:tcPr>
            <w:tcW w:w="1843" w:type="dxa"/>
          </w:tcPr>
          <w:p w:rsidR="00D26309" w:rsidRPr="0024777D" w:rsidRDefault="00EA6535" w:rsidP="004F7B8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00</w:t>
            </w:r>
          </w:p>
        </w:tc>
      </w:tr>
      <w:tr w:rsidR="00D26309" w:rsidRPr="0024777D" w:rsidTr="006E74F9">
        <w:tc>
          <w:tcPr>
            <w:tcW w:w="6061" w:type="dxa"/>
          </w:tcPr>
          <w:p w:rsidR="00D26309" w:rsidRPr="0024777D" w:rsidRDefault="00D26309" w:rsidP="004F7B8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843" w:type="dxa"/>
          </w:tcPr>
          <w:p w:rsidR="00D26309" w:rsidRPr="0024777D" w:rsidRDefault="00CD61E4" w:rsidP="004F7B8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214</w:t>
            </w:r>
            <w:r w:rsidR="00D26309"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24777D" w:rsidRPr="0024777D" w:rsidRDefault="006E74F9" w:rsidP="00A568A7">
      <w:p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وبناءاً على القوا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نين السالفة الذكر المحددة لكيفية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توزيع الحصص </w:t>
      </w: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والمترشحين</w:t>
      </w:r>
      <w:proofErr w:type="spell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المقبولين حسب النسب المخصصة لكل فئة،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والمعايير التي تم الاتفاق حولها والمتمثلة في:</w:t>
      </w:r>
    </w:p>
    <w:p w:rsidR="00663B8D" w:rsidRPr="0024777D" w:rsidRDefault="00663B8D" w:rsidP="00663B8D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إعطاء الأولوية للتسجيل في الماستر لخرجي المؤسسة الجدد نظام ل م د ، الذين لم يسجلوا أي تأخير في مسارهم الدراسي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وكذا بالنسبة للنظام الكلاسيكي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A86AA2" w:rsidRPr="0024777D" w:rsidRDefault="00D46CDB" w:rsidP="00A86AA2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احترام</w:t>
      </w:r>
      <w:r w:rsidR="00A86AA2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شروط الالتحاق في الماستر الواردة في عرض التكوين.</w:t>
      </w:r>
    </w:p>
    <w:p w:rsidR="004F7B84" w:rsidRPr="0024777D" w:rsidRDefault="00A86AA2" w:rsidP="00A86AA2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مراعاة إمكانية التاطير البيداغوجي</w:t>
      </w:r>
      <w:r w:rsidR="004F7B84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663B8D" w:rsidRPr="00A568A7" w:rsidRDefault="004F7B84" w:rsidP="00A568A7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مراعاة معدل الترتيب المحصل عليه.</w:t>
      </w:r>
    </w:p>
    <w:p w:rsidR="006E74F9" w:rsidRDefault="006E74F9" w:rsidP="00663B8D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وقد أسفرت النتائج على ما </w:t>
      </w:r>
      <w:proofErr w:type="gram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يلي :</w:t>
      </w:r>
      <w:proofErr w:type="gram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46CDB" w:rsidRPr="0024777D" w:rsidRDefault="00D46CDB" w:rsidP="00D46CDB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جدول يوضح عدد الطلبة المقبولين في سنة أولى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تخصص تكنولوجيا الاتصال الجديدة</w:t>
      </w:r>
    </w:p>
    <w:tbl>
      <w:tblPr>
        <w:tblStyle w:val="Grilledutableau"/>
        <w:bidiVisual/>
        <w:tblW w:w="0" w:type="auto"/>
        <w:tblLook w:val="04A0"/>
      </w:tblPr>
      <w:tblGrid>
        <w:gridCol w:w="6061"/>
        <w:gridCol w:w="1843"/>
      </w:tblGrid>
      <w:tr w:rsidR="006E74F9" w:rsidRPr="0024777D" w:rsidTr="00E00FCA">
        <w:tc>
          <w:tcPr>
            <w:tcW w:w="6061" w:type="dxa"/>
          </w:tcPr>
          <w:p w:rsidR="006E74F9" w:rsidRPr="0024777D" w:rsidRDefault="006E74F9" w:rsidP="0024777D">
            <w:pPr>
              <w:tabs>
                <w:tab w:val="left" w:pos="1774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فئات </w:t>
            </w:r>
            <w:proofErr w:type="gramStart"/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الخريجين</w:t>
            </w:r>
            <w:proofErr w:type="gramEnd"/>
          </w:p>
        </w:tc>
        <w:tc>
          <w:tcPr>
            <w:tcW w:w="1843" w:type="dxa"/>
          </w:tcPr>
          <w:p w:rsidR="006E74F9" w:rsidRPr="0024777D" w:rsidRDefault="006E74F9" w:rsidP="0024777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عدد المقبولين</w:t>
            </w:r>
          </w:p>
        </w:tc>
      </w:tr>
      <w:tr w:rsidR="006E74F9" w:rsidRPr="0024777D" w:rsidTr="00E00FCA">
        <w:tc>
          <w:tcPr>
            <w:tcW w:w="6061" w:type="dxa"/>
          </w:tcPr>
          <w:p w:rsidR="006E74F9" w:rsidRPr="0024777D" w:rsidRDefault="006E74F9" w:rsidP="0024777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 المؤسسة الجدد نظام ل.م.د</w:t>
            </w:r>
          </w:p>
        </w:tc>
        <w:tc>
          <w:tcPr>
            <w:tcW w:w="1843" w:type="dxa"/>
          </w:tcPr>
          <w:p w:rsidR="006E74F9" w:rsidRPr="0024777D" w:rsidRDefault="00CD61E4" w:rsidP="0024777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36</w:t>
            </w:r>
            <w:r w:rsidR="006E74F9"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6E74F9"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مقبول</w:t>
            </w:r>
            <w:proofErr w:type="gramEnd"/>
          </w:p>
        </w:tc>
      </w:tr>
      <w:tr w:rsidR="00CD61E4" w:rsidRPr="0024777D" w:rsidTr="00E00FCA">
        <w:tc>
          <w:tcPr>
            <w:tcW w:w="6061" w:type="dxa"/>
          </w:tcPr>
          <w:p w:rsidR="00CD61E4" w:rsidRPr="0024777D" w:rsidRDefault="00CD61E4" w:rsidP="0024777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</w:t>
            </w:r>
            <w:proofErr w:type="spell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المؤسسات الأخرى الجدد نظام ل.م.د</w:t>
            </w:r>
          </w:p>
        </w:tc>
        <w:tc>
          <w:tcPr>
            <w:tcW w:w="1843" w:type="dxa"/>
          </w:tcPr>
          <w:p w:rsidR="00CD61E4" w:rsidRPr="0024777D" w:rsidRDefault="00CD61E4" w:rsidP="0024777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02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مقبول</w:t>
            </w:r>
            <w:proofErr w:type="gramEnd"/>
          </w:p>
        </w:tc>
      </w:tr>
      <w:tr w:rsidR="006E74F9" w:rsidRPr="0024777D" w:rsidTr="00E00FCA">
        <w:tc>
          <w:tcPr>
            <w:tcW w:w="6061" w:type="dxa"/>
          </w:tcPr>
          <w:p w:rsidR="006E74F9" w:rsidRPr="0024777D" w:rsidRDefault="00CD61E4" w:rsidP="0024777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</w:t>
            </w:r>
            <w:proofErr w:type="spell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المؤسسة القدماء نظام ل.م.د</w:t>
            </w:r>
          </w:p>
        </w:tc>
        <w:tc>
          <w:tcPr>
            <w:tcW w:w="1843" w:type="dxa"/>
          </w:tcPr>
          <w:p w:rsidR="006E74F9" w:rsidRPr="0024777D" w:rsidRDefault="00CD61E4" w:rsidP="0024777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01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مقبول</w:t>
            </w:r>
            <w:proofErr w:type="gramEnd"/>
          </w:p>
        </w:tc>
      </w:tr>
      <w:tr w:rsidR="00CD61E4" w:rsidRPr="0024777D" w:rsidTr="00E00FCA">
        <w:tc>
          <w:tcPr>
            <w:tcW w:w="6061" w:type="dxa"/>
          </w:tcPr>
          <w:p w:rsidR="00CD61E4" w:rsidRPr="0024777D" w:rsidRDefault="00CD61E4" w:rsidP="0024777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</w:t>
            </w:r>
            <w:proofErr w:type="spellEnd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المؤسسات الأخرى القدماء نظام ل.م.د</w:t>
            </w:r>
          </w:p>
        </w:tc>
        <w:tc>
          <w:tcPr>
            <w:tcW w:w="1843" w:type="dxa"/>
          </w:tcPr>
          <w:p w:rsidR="00CD61E4" w:rsidRPr="0024777D" w:rsidRDefault="00CD61E4" w:rsidP="0024777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01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مقبول</w:t>
            </w:r>
            <w:proofErr w:type="gramEnd"/>
          </w:p>
        </w:tc>
      </w:tr>
      <w:tr w:rsidR="006E74F9" w:rsidRPr="0024777D" w:rsidTr="00E00FCA">
        <w:tc>
          <w:tcPr>
            <w:tcW w:w="6061" w:type="dxa"/>
          </w:tcPr>
          <w:p w:rsidR="006E74F9" w:rsidRPr="0024777D" w:rsidRDefault="006E74F9" w:rsidP="0024777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خريجوا النظام الكلاسيكي</w:t>
            </w:r>
          </w:p>
        </w:tc>
        <w:tc>
          <w:tcPr>
            <w:tcW w:w="1843" w:type="dxa"/>
          </w:tcPr>
          <w:p w:rsidR="006E74F9" w:rsidRPr="0024777D" w:rsidRDefault="006E74F9" w:rsidP="0024777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</w:t>
            </w:r>
            <w:r w:rsidR="00CD61E4"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5</w:t>
            </w:r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4777D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مقبول</w:t>
            </w:r>
            <w:proofErr w:type="gramEnd"/>
          </w:p>
        </w:tc>
      </w:tr>
      <w:tr w:rsidR="006E74F9" w:rsidRPr="0024777D" w:rsidTr="00E00FCA">
        <w:tc>
          <w:tcPr>
            <w:tcW w:w="6061" w:type="dxa"/>
          </w:tcPr>
          <w:p w:rsidR="006E74F9" w:rsidRPr="0024777D" w:rsidRDefault="006E74F9" w:rsidP="0024777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843" w:type="dxa"/>
          </w:tcPr>
          <w:p w:rsidR="006E74F9" w:rsidRPr="0024777D" w:rsidRDefault="00CD61E4" w:rsidP="0024777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45</w:t>
            </w:r>
            <w:r w:rsidR="006E74F9" w:rsidRPr="002477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 مقبول</w:t>
            </w:r>
            <w:proofErr w:type="gramEnd"/>
          </w:p>
        </w:tc>
      </w:tr>
    </w:tbl>
    <w:p w:rsidR="006E74F9" w:rsidRPr="0024777D" w:rsidRDefault="00B152D2" w:rsidP="0024777D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ومن خلال هذا التوزيع تم تحديد القوائم الاسمية للطلبة المقبولين للترشح </w:t>
      </w:r>
      <w:proofErr w:type="spellStart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للماستر</w:t>
      </w:r>
      <w:proofErr w:type="spellEnd"/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3504E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تخصص تكنولوجيا </w:t>
      </w:r>
      <w:r w:rsidR="0024777D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الاتصال</w:t>
      </w:r>
      <w:r w:rsidR="0043504E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الجديدة</w:t>
      </w: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للموسم الجامعي 2014/2015</w:t>
      </w:r>
      <w:r w:rsidR="00B750A7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وهي </w:t>
      </w:r>
      <w:r w:rsidR="0024777D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موضحة في المرفقات .</w:t>
      </w:r>
    </w:p>
    <w:p w:rsidR="0024777D" w:rsidRPr="0024777D" w:rsidRDefault="00D46CDB" w:rsidP="00D46CDB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     </w:t>
      </w:r>
      <w:r w:rsidR="0024777D"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>وأغلق المحضر في يومه وتاريخه.</w:t>
      </w:r>
    </w:p>
    <w:p w:rsidR="006E74F9" w:rsidRPr="0024777D" w:rsidRDefault="006E74F9" w:rsidP="006E74F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E74F9" w:rsidRPr="0024777D" w:rsidRDefault="006E74F9" w:rsidP="006E74F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13431" w:rsidRPr="0024777D" w:rsidRDefault="00C13431" w:rsidP="00C1343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4777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C06A23" w:rsidRPr="0024777D" w:rsidRDefault="00C06A23" w:rsidP="00C5295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C06A23" w:rsidRPr="0024777D" w:rsidSect="006E74F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397"/>
    <w:multiLevelType w:val="hybridMultilevel"/>
    <w:tmpl w:val="236AFDDC"/>
    <w:lvl w:ilvl="0" w:tplc="FF7E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B4F"/>
    <w:multiLevelType w:val="hybridMultilevel"/>
    <w:tmpl w:val="112064B4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2DC1"/>
    <w:multiLevelType w:val="hybridMultilevel"/>
    <w:tmpl w:val="1384294E"/>
    <w:lvl w:ilvl="0" w:tplc="63A88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36990"/>
    <w:multiLevelType w:val="hybridMultilevel"/>
    <w:tmpl w:val="FE62B43C"/>
    <w:lvl w:ilvl="0" w:tplc="91E0E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06A23"/>
    <w:rsid w:val="00177C2B"/>
    <w:rsid w:val="001B18CC"/>
    <w:rsid w:val="0024777D"/>
    <w:rsid w:val="00353B50"/>
    <w:rsid w:val="00356FCF"/>
    <w:rsid w:val="003A5AF9"/>
    <w:rsid w:val="003F4D83"/>
    <w:rsid w:val="0043504E"/>
    <w:rsid w:val="004600FA"/>
    <w:rsid w:val="0047528A"/>
    <w:rsid w:val="004F6A88"/>
    <w:rsid w:val="004F7B84"/>
    <w:rsid w:val="00663B8D"/>
    <w:rsid w:val="006E74F9"/>
    <w:rsid w:val="0072302C"/>
    <w:rsid w:val="00770410"/>
    <w:rsid w:val="00894C62"/>
    <w:rsid w:val="00902594"/>
    <w:rsid w:val="009A1D4D"/>
    <w:rsid w:val="009C5FB3"/>
    <w:rsid w:val="00A568A7"/>
    <w:rsid w:val="00A86AA2"/>
    <w:rsid w:val="00AA13E0"/>
    <w:rsid w:val="00B152D2"/>
    <w:rsid w:val="00B750A7"/>
    <w:rsid w:val="00C06A23"/>
    <w:rsid w:val="00C13431"/>
    <w:rsid w:val="00C52953"/>
    <w:rsid w:val="00CD61E4"/>
    <w:rsid w:val="00D26309"/>
    <w:rsid w:val="00D46CDB"/>
    <w:rsid w:val="00E63B13"/>
    <w:rsid w:val="00EA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A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5F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C5FB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SALHI A</cp:lastModifiedBy>
  <cp:revision>5</cp:revision>
  <dcterms:created xsi:type="dcterms:W3CDTF">2014-07-03T15:07:00Z</dcterms:created>
  <dcterms:modified xsi:type="dcterms:W3CDTF">2014-07-03T23:18:00Z</dcterms:modified>
</cp:coreProperties>
</file>